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5"/>
        <w:gridCol w:w="1335"/>
        <w:gridCol w:w="3199"/>
        <w:gridCol w:w="318"/>
        <w:gridCol w:w="1310"/>
        <w:gridCol w:w="855"/>
        <w:gridCol w:w="842"/>
      </w:tblGrid>
      <w:tr w:rsidR="00E9014C" w:rsidTr="00F83EA6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 w:rsidP="00F83EA6">
            <w:pPr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Doktora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Programı</w:t>
      </w:r>
      <w:proofErr w:type="spellEnd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90"/>
        <w:gridCol w:w="1335"/>
        <w:gridCol w:w="3199"/>
        <w:gridCol w:w="318"/>
        <w:gridCol w:w="1310"/>
        <w:gridCol w:w="855"/>
        <w:gridCol w:w="842"/>
      </w:tblGrid>
      <w:tr w:rsidR="00E9014C" w:rsidTr="00E9014C">
        <w:trPr>
          <w:trHeight w:val="425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Beceriler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Kuramsal</w:t>
            </w:r>
            <w:proofErr w:type="spellEnd"/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Uygulamalı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bilimsel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4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yayınlanmış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alan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uygulayabilme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hakkında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mantıklı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yorumlar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becerisine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5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Kavramsal</w:t>
            </w:r>
            <w:proofErr w:type="spellEnd"/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Bilişsel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Tüm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tanımlayabilmelidir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Alanıyla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İnsanın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öncesi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gelişimini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bilmelidir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Her </w:t>
            </w:r>
            <w:proofErr w:type="spellStart"/>
            <w:r>
              <w:rPr>
                <w:lang w:val="en-US"/>
              </w:rPr>
              <w:t>türlü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bilimsel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ulaşma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yollarını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bunların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nasıl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çalıştığını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Çeşitli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hazırlayabilme</w:t>
            </w:r>
            <w:proofErr w:type="spellEnd"/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Yetkinlikler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Bağımsız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lastRenderedPageBreak/>
              <w:t>Çalışabilme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Sorumluluk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Yetkinliği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bilimsel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araştırma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planlayıp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uygulayabilme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sorumluluğunu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 xml:space="preserve">TÜRKİYE YÜKSEKÖĞRETİM 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>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TEMEL ALAN YETRLİLİKLERİ </w:t>
            </w:r>
            <w:r>
              <w:rPr>
                <w:color w:val="FFFFFF" w:themeColor="background1"/>
                <w:sz w:val="24"/>
                <w:szCs w:val="24"/>
                <w:lang w:val="en-US"/>
              </w:rPr>
              <w:lastRenderedPageBreak/>
              <w:t>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araştırmalar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2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Öğrenme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Yetkinliği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 xml:space="preserve">Her </w:t>
            </w:r>
            <w:proofErr w:type="spellStart"/>
            <w:r>
              <w:rPr>
                <w:lang w:val="en-US"/>
              </w:rPr>
              <w:t>türlü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ulaşarak</w:t>
            </w:r>
            <w:proofErr w:type="spellEnd"/>
            <w:r>
              <w:rPr>
                <w:lang w:val="en-US"/>
              </w:rPr>
              <w:t xml:space="preserve"> problem </w:t>
            </w:r>
            <w:proofErr w:type="spellStart"/>
            <w:r>
              <w:rPr>
                <w:lang w:val="en-US"/>
              </w:rPr>
              <w:t>çözebilmek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öğrenebilmeli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uygulamasını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çözüm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yollarını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açıklayıp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mantıklı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yorumlayabilmelidir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2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düzeyde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ulaşabilme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Rapor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Aletlerin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nasıl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kullanılacağını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öğrenebilme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2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tutabilme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aktarabilme</w:t>
            </w:r>
            <w:proofErr w:type="spellEnd"/>
          </w:p>
        </w:tc>
      </w:tr>
      <w:tr w:rsidR="00E9014C" w:rsidTr="00E9014C">
        <w:trPr>
          <w:trHeight w:val="425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İletişim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Sosyal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Takıma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liderlik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arkadaşları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insanlarla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paylaşabilmelidir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paylaşabilme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2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liderliği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Alana </w:t>
            </w:r>
            <w:proofErr w:type="spellStart"/>
            <w:r>
              <w:rPr>
                <w:b/>
                <w:lang w:val="en-US"/>
              </w:rPr>
              <w:t>Özgü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kullanılan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uygulayabilmeli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sürekli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kendini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geliştirmeye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olmalıdır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9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25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Üremeye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yardımcı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hakkında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5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mikroskop</w:t>
            </w:r>
            <w:proofErr w:type="spellEnd"/>
            <w:r>
              <w:rPr>
                <w:lang w:val="en-US"/>
              </w:rPr>
              <w:t xml:space="preserve"> vb. </w:t>
            </w:r>
            <w:proofErr w:type="spellStart"/>
            <w:r>
              <w:rPr>
                <w:lang w:val="en-US"/>
              </w:rPr>
              <w:t>aletleri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25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Kök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hücre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konusunda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2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teknolojileri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kullanmaya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rPr>
          <w:lang w:val="en-US"/>
        </w:rPr>
      </w:pPr>
      <w:bookmarkStart w:id="0" w:name="_GoBack"/>
      <w:bookmarkEnd w:id="0"/>
    </w:p>
    <w:sectPr w:rsidR="00E9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046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E78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B596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44E1C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0330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96EF4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454B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900C5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558D1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00DFA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F3B37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447D22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F44709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16B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02FC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A1B12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669F3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165867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C87B39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60367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8C0F5D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CB3A6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0C0B2D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86BF0"/>
    <w:multiLevelType w:val="hybridMultilevel"/>
    <w:tmpl w:val="3B2C5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5637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604BA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F77662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5BA1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664F8E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12CF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F8470A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1745EF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E20182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43725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1F21D3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331DF4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F137D8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4D01AD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3F00D2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8617DD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75B67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26EA2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69530F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3D6A78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9161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C0F92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381E66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FD5133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7F"/>
    <w:rsid w:val="002E70E3"/>
    <w:rsid w:val="00BD1B7F"/>
    <w:rsid w:val="00E9014C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3</cp:revision>
  <dcterms:created xsi:type="dcterms:W3CDTF">2016-12-06T12:16:00Z</dcterms:created>
  <dcterms:modified xsi:type="dcterms:W3CDTF">2016-12-06T12:19:00Z</dcterms:modified>
</cp:coreProperties>
</file>